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6E" w:rsidRPr="0024196E" w:rsidRDefault="0024196E" w:rsidP="0024196E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bookmarkStart w:id="0" w:name="_GoBack"/>
      <w:bookmarkEnd w:id="0"/>
    </w:p>
    <w:p w:rsidR="0024196E" w:rsidRPr="0024196E" w:rsidRDefault="0024196E" w:rsidP="0024196E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0"/>
        <w:ind w:right="142"/>
        <w:jc w:val="both"/>
        <w:outlineLvl w:val="1"/>
        <w:rPr>
          <w:rFonts w:ascii="Cambria" w:eastAsia="Times New Roman" w:hAnsi="Cambria" w:cs="Arial"/>
          <w:b/>
          <w:sz w:val="24"/>
          <w:lang w:eastAsia="zh-CN"/>
        </w:rPr>
      </w:pPr>
      <w:bookmarkStart w:id="1" w:name="_Toc25569337"/>
      <w:r w:rsidRPr="0024196E">
        <w:rPr>
          <w:rFonts w:ascii="Cambria" w:eastAsia="Times New Roman" w:hAnsi="Cambria" w:cs="Arial"/>
          <w:b/>
          <w:sz w:val="24"/>
          <w:lang w:eastAsia="zh-CN"/>
        </w:rPr>
        <w:t>ΠΑΡΑΡΤΗΜΑ ΙΙΙ – Υπόδειγμα Οικονομικής Προσφοράς</w:t>
      </w:r>
      <w:bookmarkEnd w:id="1"/>
    </w:p>
    <w:p w:rsidR="0024196E" w:rsidRPr="0024196E" w:rsidRDefault="0024196E" w:rsidP="0024196E">
      <w:pPr>
        <w:suppressAutoHyphens/>
        <w:spacing w:after="0"/>
        <w:ind w:right="142"/>
        <w:jc w:val="both"/>
        <w:rPr>
          <w:rFonts w:ascii="Cambria" w:eastAsia="Times New Roman" w:hAnsi="Cambria" w:cs="Calibri"/>
          <w:i/>
          <w:lang w:eastAsia="zh-CN"/>
        </w:rPr>
      </w:pPr>
    </w:p>
    <w:p w:rsidR="0024196E" w:rsidRPr="0024196E" w:rsidRDefault="0024196E" w:rsidP="0024196E">
      <w:pPr>
        <w:suppressAutoHyphens/>
        <w:spacing w:after="0"/>
        <w:ind w:right="142"/>
        <w:jc w:val="both"/>
        <w:rPr>
          <w:rFonts w:ascii="Cambria" w:eastAsia="Times New Roman" w:hAnsi="Cambria" w:cs="Calibri"/>
          <w:b/>
          <w:u w:val="single"/>
          <w:lang w:eastAsia="zh-CN"/>
        </w:rPr>
      </w:pPr>
      <w:r w:rsidRPr="0024196E">
        <w:rPr>
          <w:rFonts w:ascii="Cambria" w:eastAsia="Times New Roman" w:hAnsi="Cambria" w:cs="Calibri"/>
          <w:b/>
          <w:u w:val="single"/>
          <w:lang w:eastAsia="zh-CN"/>
        </w:rPr>
        <w:t xml:space="preserve">Υπόδειγμα Οικονομικής Προσφοράς </w:t>
      </w:r>
    </w:p>
    <w:p w:rsidR="0024196E" w:rsidRPr="0024196E" w:rsidRDefault="0024196E" w:rsidP="0024196E">
      <w:pPr>
        <w:suppressAutoHyphens/>
        <w:spacing w:after="0"/>
        <w:ind w:right="142"/>
        <w:jc w:val="both"/>
        <w:rPr>
          <w:rFonts w:ascii="Cambria" w:eastAsia="Times New Roman" w:hAnsi="Cambria" w:cs="Calibri"/>
          <w:szCs w:val="24"/>
          <w:lang w:eastAsia="zh-CN"/>
        </w:rPr>
      </w:pPr>
    </w:p>
    <w:p w:rsidR="0024196E" w:rsidRPr="0024196E" w:rsidRDefault="0024196E" w:rsidP="0024196E">
      <w:pPr>
        <w:keepNext/>
        <w:suppressLineNumbers/>
        <w:suppressAutoHyphens/>
        <w:spacing w:before="120" w:after="120" w:line="240" w:lineRule="auto"/>
        <w:jc w:val="both"/>
        <w:rPr>
          <w:rFonts w:ascii="Calibri" w:eastAsia="Times New Roman" w:hAnsi="Calibri" w:cs="Mangal"/>
          <w:i/>
          <w:iCs/>
          <w:sz w:val="24"/>
          <w:szCs w:val="24"/>
          <w:lang w:eastAsia="zh-CN"/>
        </w:rPr>
      </w:pPr>
      <w:r w:rsidRPr="0024196E">
        <w:rPr>
          <w:rFonts w:ascii="Calibri" w:eastAsia="Times New Roman" w:hAnsi="Calibri" w:cs="Mangal"/>
          <w:i/>
          <w:iCs/>
          <w:sz w:val="24"/>
          <w:szCs w:val="24"/>
          <w:lang w:eastAsia="zh-CN"/>
        </w:rPr>
        <w:t xml:space="preserve">Πίνακας </w: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val="en-GB" w:eastAsia="zh-CN"/>
        </w:rPr>
        <w:fldChar w:fldCharType="begin"/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eastAsia="zh-CN"/>
        </w:rPr>
        <w:instrText xml:space="preserve"> </w:instrTex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val="en-GB" w:eastAsia="zh-CN"/>
        </w:rPr>
        <w:instrText>SEQ</w:instrTex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eastAsia="zh-CN"/>
        </w:rPr>
        <w:instrText xml:space="preserve"> Πίνακας \* </w:instrTex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val="en-GB" w:eastAsia="zh-CN"/>
        </w:rPr>
        <w:instrText>ARABIC</w:instrTex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eastAsia="zh-CN"/>
        </w:rPr>
        <w:instrText xml:space="preserve"> </w:instrTex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val="en-GB" w:eastAsia="zh-CN"/>
        </w:rPr>
        <w:fldChar w:fldCharType="separate"/>
      </w:r>
      <w:r w:rsidRPr="0024196E">
        <w:rPr>
          <w:rFonts w:ascii="Calibri" w:eastAsia="Times New Roman" w:hAnsi="Calibri" w:cs="Mangal"/>
          <w:i/>
          <w:iCs/>
          <w:noProof/>
          <w:sz w:val="24"/>
          <w:szCs w:val="24"/>
          <w:lang w:val="en-GB" w:eastAsia="zh-CN"/>
        </w:rPr>
        <w:t>4</w:t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val="en-GB" w:eastAsia="zh-CN"/>
        </w:rPr>
        <w:fldChar w:fldCharType="end"/>
      </w:r>
      <w:r w:rsidRPr="0024196E">
        <w:rPr>
          <w:rFonts w:ascii="Calibri" w:eastAsia="Times New Roman" w:hAnsi="Calibri" w:cs="Mangal"/>
          <w:i/>
          <w:iCs/>
          <w:sz w:val="24"/>
          <w:szCs w:val="24"/>
          <w:lang w:eastAsia="zh-CN"/>
        </w:rPr>
        <w:t>. Υπόδειγμα Οικονομικής Προσφοράς.</w:t>
      </w:r>
    </w:p>
    <w:tbl>
      <w:tblPr>
        <w:tblW w:w="51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51"/>
        <w:gridCol w:w="1758"/>
        <w:gridCol w:w="914"/>
        <w:gridCol w:w="1176"/>
        <w:gridCol w:w="1063"/>
        <w:gridCol w:w="1062"/>
        <w:gridCol w:w="1048"/>
      </w:tblGrid>
      <w:tr w:rsidR="0024196E" w:rsidRPr="0024196E" w:rsidTr="00734743">
        <w:trPr>
          <w:cantSplit/>
          <w:trHeight w:val="378"/>
        </w:trPr>
        <w:tc>
          <w:tcPr>
            <w:tcW w:w="3798" w:type="pct"/>
            <w:gridSpan w:val="6"/>
            <w:shd w:val="clear" w:color="auto" w:fill="D9D9D9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center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Επιστημονικά όργανα και αναλώσιμα/ανταλλακτικά</w:t>
            </w:r>
          </w:p>
        </w:tc>
        <w:tc>
          <w:tcPr>
            <w:tcW w:w="605" w:type="pct"/>
            <w:shd w:val="clear" w:color="auto" w:fill="D9D9D9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center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</w:p>
        </w:tc>
        <w:tc>
          <w:tcPr>
            <w:tcW w:w="597" w:type="pct"/>
            <w:shd w:val="clear" w:color="auto" w:fill="D9D9D9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center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</w:p>
        </w:tc>
      </w:tr>
      <w:tr w:rsidR="0024196E" w:rsidRPr="0024196E" w:rsidTr="00734743">
        <w:trPr>
          <w:cantSplit/>
          <w:trHeight w:val="2049"/>
        </w:trPr>
        <w:tc>
          <w:tcPr>
            <w:tcW w:w="400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Α/Α</w:t>
            </w:r>
          </w:p>
        </w:tc>
        <w:tc>
          <w:tcPr>
            <w:tcW w:w="599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Κωδικός είδους</w:t>
            </w:r>
          </w:p>
        </w:tc>
        <w:tc>
          <w:tcPr>
            <w:tcW w:w="1002" w:type="pct"/>
            <w:shd w:val="clear" w:color="auto" w:fill="D9D9D9"/>
            <w:vAlign w:val="center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center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Προσφερόμενο είδος</w:t>
            </w:r>
          </w:p>
        </w:tc>
        <w:tc>
          <w:tcPr>
            <w:tcW w:w="521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Απαιτούμενα Τεμάχια</w:t>
            </w:r>
          </w:p>
        </w:tc>
        <w:tc>
          <w:tcPr>
            <w:tcW w:w="670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Προϋπολογισθείσα τιμή μονάδος μη συμπ. ΦΠΑ (€)</w:t>
            </w:r>
          </w:p>
        </w:tc>
        <w:tc>
          <w:tcPr>
            <w:tcW w:w="606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Συνολική προϋπολογισθείσα τιμή μη συμπ. ΦΠΑ (€)</w:t>
            </w:r>
          </w:p>
        </w:tc>
        <w:tc>
          <w:tcPr>
            <w:tcW w:w="605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Προσφερόμενη τιμή μονάδος μη συμπ. ΦΠΑ (€)</w:t>
            </w:r>
          </w:p>
        </w:tc>
        <w:tc>
          <w:tcPr>
            <w:tcW w:w="597" w:type="pct"/>
            <w:shd w:val="clear" w:color="auto" w:fill="D9D9D9"/>
            <w:textDirection w:val="btLr"/>
          </w:tcPr>
          <w:p w:rsidR="0024196E" w:rsidRPr="0024196E" w:rsidRDefault="0024196E" w:rsidP="0024196E">
            <w:pPr>
              <w:suppressAutoHyphens/>
              <w:spacing w:after="0"/>
              <w:ind w:left="113" w:right="142"/>
              <w:rPr>
                <w:rFonts w:ascii="Cambria" w:eastAsia="Times New Roman" w:hAnsi="Cambria" w:cs="Calibri"/>
                <w:b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Συνολική προσφερόμενησα τιμή μη συμπ. ΦΠΑ (€)</w:t>
            </w:r>
          </w:p>
        </w:tc>
      </w:tr>
      <w:tr w:rsidR="0024196E" w:rsidRPr="0024196E" w:rsidTr="00734743"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ΑΤΜ1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2.821,77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2.821,77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ΑΤΜ2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8.060,48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8.060,48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ΑΤΜ3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.</w:t>
            </w: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379,032</w:t>
            </w: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.</w:t>
            </w: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379,032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ΑΤΜ4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637,097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637,097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rPr>
          <w:trHeight w:val="33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ΑΤΜ5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400,00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800,00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</w:t>
            </w:r>
          </w:p>
        </w:tc>
        <w:tc>
          <w:tcPr>
            <w:tcW w:w="1002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230,00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230,00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7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261,00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261,00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8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198,00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198,00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9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ΧΜ4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259,30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259,30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10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271,50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271,50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11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210,00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210,00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347"/>
        </w:trPr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12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75,32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225,97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250"/>
        </w:trPr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13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14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ΧΜ9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1.612,90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1.612,90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15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ΧΜ10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1.612,90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1.612,90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16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121,00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121,00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17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787,20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787,20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18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488,15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488,15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19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362,90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362,90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20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260,23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260,23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223,74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223,74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22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96,77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193,55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23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137,10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274,19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24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ΧΜ19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137,10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137,10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25</w:t>
            </w:r>
          </w:p>
        </w:tc>
        <w:tc>
          <w:tcPr>
            <w:tcW w:w="599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435,48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435,48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26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1.270,00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1.270,00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FF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FF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27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140,00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140,00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28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586,26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586,26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29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500,00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500,00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30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879,00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879,00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100,00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100,00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209,68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209,68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550,80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550,80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ΧΜ29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ΧΜ30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270,00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270,00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36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322,58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322,58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37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810,00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810,00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38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345,00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345,00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39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250,00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250,00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40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145,00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290,00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ΧΜ36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1,00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300,00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300,00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725,81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725,81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112,90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112,90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72,58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72,58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48,39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48,39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46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201,61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201,61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47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477,42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477,42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48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234,27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937,10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49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233,87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233,87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50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3.600,00 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3.600,00 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10 </w:t>
            </w:r>
            <w:proofErr w:type="spellStart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δι</w:t>
            </w:r>
            <w:proofErr w:type="spellEnd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αγνωστικά &amp; 10 </w:t>
            </w:r>
            <w:proofErr w:type="spellStart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κάρτες</w:t>
            </w:r>
            <w:proofErr w:type="spellEnd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</w:t>
            </w:r>
            <w:proofErr w:type="spellStart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μνήμης</w:t>
            </w:r>
            <w:proofErr w:type="spellEnd"/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221,774 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2.217,74 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lastRenderedPageBreak/>
              <w:t>52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1.500,00 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1.500,00 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403,225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806,45 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232,21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464,42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ΠΜ6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342,04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342,04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56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val="en-US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155,00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1.550,00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57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169,74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169,74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rPr>
          <w:trHeight w:val="1100"/>
        </w:trPr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58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ΠΜ9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30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16,60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498,00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</w:tcPr>
          <w:p w:rsidR="0024196E" w:rsidRPr="0024196E" w:rsidRDefault="0024196E" w:rsidP="0024196E">
            <w:pPr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59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ΠΜ10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240" w:line="240" w:lineRule="auto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( 1 πα</w:t>
            </w:r>
            <w:proofErr w:type="spellStart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κέτο</w:t>
            </w:r>
            <w:proofErr w:type="spellEnd"/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 (ΚΙΤ) 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407,26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407,26 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60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1.128,00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1.128,00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340,75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340,75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ΜΜΜ3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235,00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235,00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ΜΜΜ4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1.062,00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1.062,00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ΜΜΜ5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600,00 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600,00 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highlight w:val="yellow"/>
                <w:lang w:val="en-US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ΜΜΜ</w:t>
            </w: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6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4196E" w:rsidRPr="0024196E" w:rsidRDefault="0024196E" w:rsidP="0024196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180,00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180,00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66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ΜΜΜ7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190,00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190,00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6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7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ΜΜΜ8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218,00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218,00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6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8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ΜΜΜ9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130,00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130,00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69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ΜΜΜ10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130,00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130,00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0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ΜΜΜ11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171,00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szCs w:val="24"/>
                <w:lang w:val="en-GB" w:eastAsia="zh-CN"/>
              </w:rPr>
              <w:t>171,00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1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ΝΜΜ1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161</w:t>
            </w: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322</w:t>
            </w: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2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ΣΕ1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913,98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eastAsia="zh-CN"/>
              </w:rPr>
              <w:t>2.741,94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lastRenderedPageBreak/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3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ΣΕ2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US" w:eastAsia="zh-CN"/>
              </w:rPr>
              <w:t>1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US" w:eastAsia="zh-CN"/>
              </w:rPr>
              <w:t>679,73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US" w:eastAsia="zh-CN"/>
              </w:rPr>
              <w:t>679,73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val="en-US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HM1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39,00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117,00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rPr>
          <w:trHeight w:val="640"/>
        </w:trPr>
        <w:tc>
          <w:tcPr>
            <w:tcW w:w="40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0"/>
              <w:ind w:right="142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7</w:t>
            </w:r>
            <w:r w:rsidRPr="0024196E">
              <w:rPr>
                <w:rFonts w:ascii="Cambria" w:eastAsia="Times New Roman" w:hAnsi="Cambria" w:cs="Calibri"/>
                <w:szCs w:val="24"/>
                <w:lang w:eastAsia="zh-CN"/>
              </w:rPr>
              <w:t>5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mbria" w:eastAsia="Times New Roman" w:hAnsi="Cambria" w:cs="Calibri"/>
                <w:szCs w:val="24"/>
                <w:lang w:val="en-US" w:eastAsia="zh-CN"/>
              </w:rPr>
            </w:pPr>
            <w:r w:rsidRPr="0024196E">
              <w:rPr>
                <w:rFonts w:ascii="Cambria" w:eastAsia="Times New Roman" w:hAnsi="Cambria" w:cs="Calibri"/>
                <w:szCs w:val="24"/>
                <w:lang w:val="en-US" w:eastAsia="zh-CN"/>
              </w:rPr>
              <w:t>HM2</w:t>
            </w:r>
          </w:p>
        </w:tc>
        <w:tc>
          <w:tcPr>
            <w:tcW w:w="1002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21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5</w:t>
            </w:r>
          </w:p>
        </w:tc>
        <w:tc>
          <w:tcPr>
            <w:tcW w:w="670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21,00</w:t>
            </w:r>
          </w:p>
        </w:tc>
        <w:tc>
          <w:tcPr>
            <w:tcW w:w="606" w:type="pct"/>
            <w:shd w:val="clear" w:color="auto" w:fill="FFFFFF"/>
            <w:vAlign w:val="bottom"/>
          </w:tcPr>
          <w:p w:rsidR="0024196E" w:rsidRPr="0024196E" w:rsidRDefault="0024196E" w:rsidP="0024196E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24196E">
              <w:rPr>
                <w:rFonts w:ascii="Calibri" w:eastAsia="Times New Roman" w:hAnsi="Calibri" w:cs="Calibri"/>
                <w:color w:val="000000"/>
                <w:lang w:val="en-GB" w:eastAsia="zh-CN"/>
              </w:rPr>
              <w:t>105,00</w:t>
            </w:r>
          </w:p>
        </w:tc>
        <w:tc>
          <w:tcPr>
            <w:tcW w:w="605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24196E" w:rsidRPr="0024196E" w:rsidTr="00734743">
        <w:tc>
          <w:tcPr>
            <w:tcW w:w="4403" w:type="pct"/>
            <w:gridSpan w:val="7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Σύνολο μη συμπ. ΦΠΑ</w:t>
            </w: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</w:tr>
      <w:tr w:rsidR="0024196E" w:rsidRPr="0024196E" w:rsidTr="00734743">
        <w:tc>
          <w:tcPr>
            <w:tcW w:w="4403" w:type="pct"/>
            <w:gridSpan w:val="7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ΦΠΑ</w:t>
            </w: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</w:tr>
      <w:tr w:rsidR="0024196E" w:rsidRPr="0024196E" w:rsidTr="00734743">
        <w:tc>
          <w:tcPr>
            <w:tcW w:w="4403" w:type="pct"/>
            <w:gridSpan w:val="7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  <w:r w:rsidRPr="0024196E">
              <w:rPr>
                <w:rFonts w:ascii="Cambria" w:eastAsia="Times New Roman" w:hAnsi="Cambria" w:cs="Calibri"/>
                <w:b/>
                <w:szCs w:val="24"/>
                <w:lang w:eastAsia="zh-CN"/>
              </w:rPr>
              <w:t>Σύνολο συμπ. ΦΠΑ</w:t>
            </w:r>
          </w:p>
        </w:tc>
        <w:tc>
          <w:tcPr>
            <w:tcW w:w="597" w:type="pct"/>
            <w:shd w:val="clear" w:color="auto" w:fill="FFFFFF"/>
          </w:tcPr>
          <w:p w:rsidR="0024196E" w:rsidRPr="0024196E" w:rsidRDefault="0024196E" w:rsidP="0024196E">
            <w:pPr>
              <w:shd w:val="clear" w:color="auto" w:fill="FFFFFF"/>
              <w:suppressAutoHyphens/>
              <w:spacing w:after="0"/>
              <w:ind w:right="142"/>
              <w:jc w:val="both"/>
              <w:rPr>
                <w:rFonts w:ascii="Cambria" w:eastAsia="Times New Roman" w:hAnsi="Cambria" w:cs="Calibri"/>
                <w:szCs w:val="24"/>
                <w:lang w:eastAsia="zh-CN"/>
              </w:rPr>
            </w:pPr>
          </w:p>
        </w:tc>
      </w:tr>
    </w:tbl>
    <w:p w:rsidR="0024196E" w:rsidRPr="0024196E" w:rsidRDefault="0024196E" w:rsidP="0024196E">
      <w:pPr>
        <w:shd w:val="clear" w:color="auto" w:fill="FFFFFF"/>
        <w:suppressAutoHyphens/>
        <w:spacing w:after="0"/>
        <w:ind w:right="142"/>
        <w:jc w:val="both"/>
        <w:rPr>
          <w:rFonts w:ascii="Cambria" w:eastAsia="Times New Roman" w:hAnsi="Cambria" w:cs="Calibri"/>
          <w:szCs w:val="24"/>
          <w:lang w:eastAsia="zh-CN"/>
        </w:rPr>
      </w:pPr>
    </w:p>
    <w:p w:rsidR="00C03854" w:rsidRDefault="00C03854"/>
    <w:sectPr w:rsidR="00C03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E"/>
    <w:rsid w:val="0024196E"/>
    <w:rsid w:val="00522C5F"/>
    <w:rsid w:val="00C0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Georgia Verykaki</cp:lastModifiedBy>
  <cp:revision>2</cp:revision>
  <dcterms:created xsi:type="dcterms:W3CDTF">2019-11-28T10:38:00Z</dcterms:created>
  <dcterms:modified xsi:type="dcterms:W3CDTF">2019-11-28T10:38:00Z</dcterms:modified>
</cp:coreProperties>
</file>