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05"/>
      </w:tblGrid>
      <w:tr w:rsidR="00B07928" w:rsidTr="00F06B3D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28" w:rsidRDefault="00B07928" w:rsidP="00F06B3D">
            <w:pPr>
              <w:tabs>
                <w:tab w:val="left" w:pos="1702"/>
              </w:tabs>
              <w:ind w:right="-58"/>
              <w:rPr>
                <w:rFonts w:ascii="Arial" w:hAnsi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28" w:rsidRDefault="00B07928" w:rsidP="00F06B3D">
            <w:pPr>
              <w:tabs>
                <w:tab w:val="left" w:pos="1702"/>
              </w:tabs>
              <w:ind w:right="-5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ΕΘΝΙΚΟ ΜΕΤΣΟΒΙΟ ΠΟΛΥΤΕΧΝΕΙΟ</w:t>
            </w:r>
          </w:p>
          <w:p w:rsidR="00B07928" w:rsidRDefault="00B07928" w:rsidP="00F06B3D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B07928" w:rsidRDefault="00B07928" w:rsidP="00F06B3D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ΔΙΕΥΘΥΝΣΗ ΜΕΡΙΜΝΑΣ</w:t>
            </w:r>
          </w:p>
          <w:p w:rsidR="00B07928" w:rsidRDefault="00B07928" w:rsidP="00F06B3D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ΤΜΗΜΑ ΦΟΙΤΗΤΙΚΗΣ ΜΕΡΙΜΝΑΣ</w:t>
            </w:r>
          </w:p>
          <w:p w:rsidR="00B07928" w:rsidRDefault="00B07928" w:rsidP="00F06B3D">
            <w:pPr>
              <w:tabs>
                <w:tab w:val="left" w:pos="1702"/>
              </w:tabs>
              <w:ind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Ηρ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B07928" w:rsidRDefault="00B07928" w:rsidP="00B07928">
      <w:pPr>
        <w:spacing w:line="240" w:lineRule="atLeast"/>
        <w:ind w:right="-508"/>
        <w:rPr>
          <w:szCs w:val="20"/>
        </w:rPr>
      </w:pPr>
    </w:p>
    <w:p w:rsidR="00B07928" w:rsidRPr="00F821B2" w:rsidRDefault="00B07928" w:rsidP="00B07928">
      <w:pPr>
        <w:spacing w:line="240" w:lineRule="atLeast"/>
        <w:ind w:left="6480" w:right="-508"/>
      </w:pPr>
      <w:r w:rsidRPr="003A4E64">
        <w:rPr>
          <w:szCs w:val="20"/>
        </w:rPr>
        <w:t xml:space="preserve">     </w:t>
      </w:r>
      <w:r w:rsidRPr="003A4E64">
        <w:t xml:space="preserve">  </w:t>
      </w:r>
      <w:r w:rsidRPr="00F821B2">
        <w:rPr>
          <w:lang w:val="en-US"/>
        </w:rPr>
        <w:t>A</w:t>
      </w:r>
      <w:proofErr w:type="spellStart"/>
      <w:r w:rsidRPr="00F821B2">
        <w:t>θήνα</w:t>
      </w:r>
      <w:proofErr w:type="spellEnd"/>
      <w:proofErr w:type="gramStart"/>
      <w:r w:rsidRPr="00F821B2">
        <w:t>,  08.10.2018</w:t>
      </w:r>
      <w:proofErr w:type="gramEnd"/>
    </w:p>
    <w:p w:rsidR="00B07928" w:rsidRPr="003A4E64" w:rsidRDefault="00B07928" w:rsidP="00B07928">
      <w:pPr>
        <w:spacing w:line="240" w:lineRule="atLeast"/>
        <w:ind w:left="6480" w:right="-508"/>
      </w:pPr>
    </w:p>
    <w:p w:rsidR="00B07928" w:rsidRDefault="00B07928" w:rsidP="00B07928">
      <w:pPr>
        <w:pStyle w:val="5"/>
        <w:spacing w:line="240" w:lineRule="auto"/>
        <w:rPr>
          <w:szCs w:val="28"/>
        </w:rPr>
      </w:pPr>
      <w:r>
        <w:rPr>
          <w:szCs w:val="28"/>
        </w:rPr>
        <w:t>Α Ν Α Κ Ο Ι Ν Ω Σ Η</w:t>
      </w:r>
    </w:p>
    <w:p w:rsidR="00B07928" w:rsidRDefault="00B07928" w:rsidP="00B07928">
      <w:pPr>
        <w:tabs>
          <w:tab w:val="left" w:pos="1702"/>
        </w:tabs>
        <w:spacing w:before="120" w:line="240" w:lineRule="atLeast"/>
        <w:ind w:left="-1134" w:right="-1075"/>
        <w:jc w:val="both"/>
      </w:pPr>
      <w:r>
        <w:rPr>
          <w:bCs/>
        </w:rPr>
        <w:t xml:space="preserve">Ανακοινώνεται στους φοιτητές του Ιδρύματος ότι, σύμφωνα με την απόφαση της </w:t>
      </w:r>
      <w:r w:rsidRPr="005B2715">
        <w:rPr>
          <w:bCs/>
        </w:rPr>
        <w:t>7</w:t>
      </w:r>
      <w:r w:rsidRPr="005B2715">
        <w:rPr>
          <w:bCs/>
          <w:vertAlign w:val="superscript"/>
        </w:rPr>
        <w:t>ης</w:t>
      </w:r>
      <w:r w:rsidRPr="005B2715">
        <w:rPr>
          <w:bCs/>
        </w:rPr>
        <w:t>/2018</w:t>
      </w:r>
      <w:r>
        <w:rPr>
          <w:bCs/>
        </w:rPr>
        <w:t xml:space="preserve"> Συνεδρίασης της Συγκλήτου (</w:t>
      </w:r>
      <w:r w:rsidRPr="005B2715">
        <w:rPr>
          <w:bCs/>
        </w:rPr>
        <w:t>28.09.2018</w:t>
      </w:r>
      <w:r>
        <w:rPr>
          <w:bCs/>
        </w:rPr>
        <w:t xml:space="preserve">), </w:t>
      </w:r>
      <w:r>
        <w:t xml:space="preserve">θα χορηγηθεί η οικονομική ενίσχυση για τη συμμετοχή τελειοφοίτων σε συνέδρια του κληροδοτήματος Δ. </w:t>
      </w:r>
      <w:proofErr w:type="spellStart"/>
      <w:r>
        <w:t>Θωμαϊδου</w:t>
      </w:r>
      <w:proofErr w:type="spellEnd"/>
      <w:r>
        <w:t xml:space="preserve"> για το έτος 2017 στους παρακάτω δικαιούχους και θα εκδοθούν τα αντίστοιχα χρηματικά εντάλματα από το Τμήμα Διαχείρισης Περιουσίας της Δ/νσης Οικονομικών Υπηρεσιών, ως ακολούθως:</w:t>
      </w:r>
    </w:p>
    <w:tbl>
      <w:tblPr>
        <w:tblW w:w="10207" w:type="dxa"/>
        <w:tblInd w:w="-743" w:type="dxa"/>
        <w:tblLayout w:type="fixed"/>
        <w:tblLook w:val="0000"/>
      </w:tblPr>
      <w:tblGrid>
        <w:gridCol w:w="567"/>
        <w:gridCol w:w="1985"/>
        <w:gridCol w:w="1418"/>
        <w:gridCol w:w="709"/>
        <w:gridCol w:w="1842"/>
        <w:gridCol w:w="1560"/>
        <w:gridCol w:w="1275"/>
        <w:gridCol w:w="851"/>
      </w:tblGrid>
      <w:tr w:rsidR="00B07928" w:rsidRPr="0041549D" w:rsidTr="00F06B3D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28" w:rsidRPr="0041549D" w:rsidRDefault="00B07928" w:rsidP="00F06B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α/α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28" w:rsidRPr="0041549D" w:rsidRDefault="00B07928" w:rsidP="00F06B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Ονοματεπώνυμο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28" w:rsidRPr="0041549D" w:rsidRDefault="00B07928" w:rsidP="00F06B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Πατρώνυμο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28" w:rsidRPr="0041549D" w:rsidRDefault="00B07928" w:rsidP="00F06B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Σχολή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28" w:rsidRPr="0041549D" w:rsidRDefault="00B07928" w:rsidP="00F06B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Τίτλος εργασίας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28" w:rsidRPr="0041549D" w:rsidRDefault="00B07928" w:rsidP="00F06B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Συνέδριο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28" w:rsidRPr="0041549D" w:rsidRDefault="00B07928" w:rsidP="00F06B3D">
            <w:pPr>
              <w:ind w:right="-108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Εσωτερικό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ή </w:t>
            </w:r>
            <w:r w:rsidRPr="0041549D">
              <w:rPr>
                <w:b/>
                <w:bCs/>
                <w:i/>
                <w:iCs/>
                <w:sz w:val="18"/>
                <w:szCs w:val="18"/>
              </w:rPr>
              <w:t>Εξωτερικό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28" w:rsidRPr="0041549D" w:rsidRDefault="00B07928" w:rsidP="00F06B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1549D">
              <w:rPr>
                <w:b/>
                <w:bCs/>
                <w:i/>
                <w:iCs/>
                <w:sz w:val="18"/>
                <w:szCs w:val="18"/>
              </w:rPr>
              <w:t>Ποσό</w:t>
            </w:r>
          </w:p>
        </w:tc>
      </w:tr>
      <w:tr w:rsidR="00B07928" w:rsidRPr="00206089" w:rsidTr="00F06B3D">
        <w:tblPrEx>
          <w:tblLook w:val="04A0"/>
        </w:tblPrEx>
        <w:trPr>
          <w:trHeight w:val="1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ΚΑΛΛΙΜΟΓΙΑΝΝΗΣ ΒΑΣΙΛΕΙΟΣ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Π.Μ.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6507A0">
              <w:rPr>
                <w:color w:val="000000"/>
                <w:sz w:val="18"/>
                <w:szCs w:val="18"/>
                <w:lang w:val="en-US"/>
              </w:rPr>
              <w:t>Study of cracking process in Granite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206089">
              <w:rPr>
                <w:color w:val="000000"/>
                <w:sz w:val="18"/>
                <w:szCs w:val="18"/>
                <w:lang w:val="en-US"/>
              </w:rPr>
              <w:t>ISRM EUROPEAN ROCK MECHANICS SYMPOSIUM EUROCK 2017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Ε</w:t>
            </w:r>
            <w:r>
              <w:rPr>
                <w:color w:val="000000"/>
                <w:sz w:val="18"/>
                <w:szCs w:val="18"/>
              </w:rPr>
              <w:t>ξωτερικό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604</w:t>
            </w:r>
          </w:p>
        </w:tc>
      </w:tr>
      <w:tr w:rsidR="00B07928" w:rsidRPr="00206089" w:rsidTr="00F06B3D">
        <w:tblPrEx>
          <w:tblLook w:val="04A0"/>
        </w:tblPrEx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 xml:space="preserve">ΔΑΛΛΑΣ ΣΠΥΡΙΔΩΝ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ΠΑΡΑΣΚΕΥΑΣ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Μ.Μ.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A </w:t>
            </w:r>
            <w:r w:rsidRPr="006507A0"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eg Design Method for High Speed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Quadrupedal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Locomotion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206089">
              <w:rPr>
                <w:color w:val="000000"/>
                <w:sz w:val="18"/>
                <w:szCs w:val="18"/>
                <w:lang w:val="en-US"/>
              </w:rPr>
              <w:t>2017 IEEE/RSJ INTERNATIONAL CONFERENCE ON INTELLIGENT ROBOTS AND SYSTEMS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Ε</w:t>
            </w:r>
            <w:r>
              <w:rPr>
                <w:color w:val="000000"/>
                <w:sz w:val="18"/>
                <w:szCs w:val="18"/>
              </w:rPr>
              <w:t>ξωτερικό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800</w:t>
            </w:r>
          </w:p>
        </w:tc>
      </w:tr>
      <w:tr w:rsidR="00B07928" w:rsidRPr="00206089" w:rsidTr="00F06B3D">
        <w:tblPrEx>
          <w:tblLook w:val="04A0"/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ΑΓΓΕΛΟΠΟΥΛΟΥ ΑΘΗΝΑ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ΝΙΚΟΛΑΟΣ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Α.Μ.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8930FD" w:rsidRDefault="00B07928" w:rsidP="00F06B3D">
            <w:pPr>
              <w:rPr>
                <w:sz w:val="18"/>
                <w:szCs w:val="18"/>
                <w:lang w:val="en-US"/>
              </w:rPr>
            </w:pPr>
            <w:r w:rsidRPr="008930FD">
              <w:rPr>
                <w:sz w:val="18"/>
                <w:szCs w:val="18"/>
                <w:lang w:val="en-US"/>
              </w:rPr>
              <w:t>Monstrous Bodies as International Design Objects: The Case of Dr. Moreau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206089">
              <w:rPr>
                <w:color w:val="000000"/>
                <w:sz w:val="18"/>
                <w:szCs w:val="18"/>
                <w:lang w:val="en-US"/>
              </w:rPr>
              <w:t xml:space="preserve">RAW GRADUATE CONFERENCE ON "HYBRIDITY AND MONSTROSITY"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Ε</w:t>
            </w:r>
            <w:r>
              <w:rPr>
                <w:color w:val="000000"/>
                <w:sz w:val="18"/>
                <w:szCs w:val="18"/>
              </w:rPr>
              <w:t>ξωτερικό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800</w:t>
            </w:r>
          </w:p>
        </w:tc>
      </w:tr>
      <w:tr w:rsidR="00B07928" w:rsidRPr="00206089" w:rsidTr="00F06B3D">
        <w:tblPrEx>
          <w:tblLook w:val="04A0"/>
        </w:tblPrEx>
        <w:trPr>
          <w:trHeight w:val="12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ΧΡΗΣΤΑΚΟΥ ΒΑΣΙΛΙΚΗ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ΙΩΑΝΝΗΣ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Α.Μ.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“</w:t>
            </w:r>
            <w:r w:rsidRPr="00206089">
              <w:rPr>
                <w:color w:val="000000"/>
                <w:sz w:val="18"/>
                <w:szCs w:val="18"/>
                <w:lang w:val="en-US"/>
              </w:rPr>
              <w:t>Descending to Phaedrus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’ </w:t>
            </w:r>
            <w:r w:rsidRPr="00206089">
              <w:rPr>
                <w:color w:val="000000"/>
                <w:sz w:val="18"/>
                <w:szCs w:val="18"/>
                <w:lang w:val="en-US"/>
              </w:rPr>
              <w:t xml:space="preserve">Font and Museum" The </w:t>
            </w:r>
            <w:proofErr w:type="spellStart"/>
            <w:r w:rsidRPr="00206089">
              <w:rPr>
                <w:color w:val="000000"/>
                <w:sz w:val="18"/>
                <w:szCs w:val="18"/>
                <w:lang w:val="en-US"/>
              </w:rPr>
              <w:t>Ilissus</w:t>
            </w:r>
            <w:proofErr w:type="spellEnd"/>
            <w:r w:rsidRPr="00206089">
              <w:rPr>
                <w:color w:val="000000"/>
                <w:sz w:val="18"/>
                <w:szCs w:val="18"/>
                <w:lang w:val="en-US"/>
              </w:rPr>
              <w:t xml:space="preserve"> River as Textual and Cultural Landscape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206089">
              <w:rPr>
                <w:color w:val="000000"/>
                <w:sz w:val="18"/>
                <w:szCs w:val="18"/>
                <w:lang w:val="en-US"/>
              </w:rPr>
              <w:t>UIA 2017 SEOUL WORLD ARCHITECTS  CONGRESS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Ε</w:t>
            </w:r>
            <w:r>
              <w:rPr>
                <w:color w:val="000000"/>
                <w:sz w:val="18"/>
                <w:szCs w:val="18"/>
              </w:rPr>
              <w:t>ξωτερικό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800</w:t>
            </w:r>
          </w:p>
        </w:tc>
      </w:tr>
      <w:tr w:rsidR="00B07928" w:rsidRPr="00206089" w:rsidTr="00F06B3D">
        <w:tblPrEx>
          <w:tblLook w:val="04A0"/>
        </w:tblPrEx>
        <w:trPr>
          <w:trHeight w:val="1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ΧΑΤΖΟΠΟΥΛΟΣ 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ΝΙΚΟΛΑΟΣ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Α.Μ.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“</w:t>
            </w:r>
            <w:r w:rsidRPr="00206089">
              <w:rPr>
                <w:color w:val="000000"/>
                <w:sz w:val="18"/>
                <w:szCs w:val="18"/>
                <w:lang w:val="en-US"/>
              </w:rPr>
              <w:t>Descending to Phaedrus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’ </w:t>
            </w:r>
            <w:r w:rsidRPr="00206089">
              <w:rPr>
                <w:color w:val="000000"/>
                <w:sz w:val="18"/>
                <w:szCs w:val="18"/>
                <w:lang w:val="en-US"/>
              </w:rPr>
              <w:t xml:space="preserve">Font and Museum" The </w:t>
            </w:r>
            <w:proofErr w:type="spellStart"/>
            <w:r w:rsidRPr="00206089">
              <w:rPr>
                <w:color w:val="000000"/>
                <w:sz w:val="18"/>
                <w:szCs w:val="18"/>
                <w:lang w:val="en-US"/>
              </w:rPr>
              <w:t>Ilissus</w:t>
            </w:r>
            <w:proofErr w:type="spellEnd"/>
            <w:r w:rsidRPr="00206089">
              <w:rPr>
                <w:color w:val="000000"/>
                <w:sz w:val="18"/>
                <w:szCs w:val="18"/>
                <w:lang w:val="en-US"/>
              </w:rPr>
              <w:t xml:space="preserve"> River as Textual and Cultural Landscape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206089">
              <w:rPr>
                <w:color w:val="000000"/>
                <w:sz w:val="18"/>
                <w:szCs w:val="18"/>
                <w:lang w:val="en-US"/>
              </w:rPr>
              <w:t>UIA 2017 SEOUL WORLD ARCHITECTS  CONGRESS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Ε</w:t>
            </w:r>
            <w:r>
              <w:rPr>
                <w:color w:val="000000"/>
                <w:sz w:val="18"/>
                <w:szCs w:val="18"/>
              </w:rPr>
              <w:t>ξωτερικό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800</w:t>
            </w:r>
          </w:p>
        </w:tc>
      </w:tr>
      <w:tr w:rsidR="00B07928" w:rsidRPr="00206089" w:rsidTr="00F06B3D">
        <w:tblPrEx>
          <w:tblLook w:val="04A0"/>
        </w:tblPrEx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ΚΑΦΥΡΑ ΜΑΡΙΑ-ΣΤΥΛΙΑΝΗ-ΓΕΩΡΓΙΑ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ΔΗΜΗΤΡΙΟΣ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Χ.Μ.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206089">
              <w:rPr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color w:val="000000"/>
                <w:sz w:val="18"/>
                <w:szCs w:val="18"/>
                <w:lang w:val="en-US"/>
              </w:rPr>
              <w:t>icroalgae based innovative animals fat and proteins replacers for application in functional baked products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  <w:lang w:val="en-US"/>
              </w:rPr>
            </w:pPr>
            <w:r w:rsidRPr="00206089">
              <w:rPr>
                <w:color w:val="000000"/>
                <w:sz w:val="18"/>
                <w:szCs w:val="18"/>
                <w:lang w:val="en-US"/>
              </w:rPr>
              <w:t>4th NORTH AND EAST EUROPEAN CONGRESS ON FOOD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Ε</w:t>
            </w:r>
            <w:r>
              <w:rPr>
                <w:color w:val="000000"/>
                <w:sz w:val="18"/>
                <w:szCs w:val="18"/>
              </w:rPr>
              <w:t>ξωτερικό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638</w:t>
            </w:r>
          </w:p>
        </w:tc>
      </w:tr>
      <w:tr w:rsidR="00B07928" w:rsidRPr="00206089" w:rsidTr="00F06B3D">
        <w:tblPrEx>
          <w:tblLook w:val="04A0"/>
        </w:tblPrEx>
        <w:trPr>
          <w:trHeight w:val="140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ΤΟΠΚΑ ΚΩΝΣΤΑΝΤΙΝΑ-ΧΡΙΣΤΙΝΑ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Χ.Μ.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Η</w:t>
            </w:r>
            <w:r>
              <w:rPr>
                <w:color w:val="000000"/>
                <w:sz w:val="18"/>
                <w:szCs w:val="18"/>
              </w:rPr>
              <w:t xml:space="preserve">λεκτροχημική σύνθεση </w:t>
            </w:r>
            <w:proofErr w:type="spellStart"/>
            <w:r>
              <w:rPr>
                <w:color w:val="000000"/>
                <w:sz w:val="18"/>
                <w:szCs w:val="18"/>
              </w:rPr>
              <w:t>βιομιμητικών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μικρο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νανο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δομημένων </w:t>
            </w:r>
            <w:proofErr w:type="spellStart"/>
            <w:r>
              <w:rPr>
                <w:color w:val="000000"/>
                <w:sz w:val="18"/>
                <w:szCs w:val="18"/>
              </w:rPr>
              <w:t>υπερυδρόφοβων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υμενίων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11Ο ΠΑΝΕΛΛΗΝΙΟ ΕΠΙΣΤΗΜΟΝΙΚΟ ΣΥΝΕΔΡΙΟ ΧΗΜΙΚΗΣ ΜΗΧΑΝΙΚΗΣ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Εσωτερικό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127</w:t>
            </w:r>
          </w:p>
        </w:tc>
      </w:tr>
      <w:tr w:rsidR="00B07928" w:rsidRPr="00206089" w:rsidTr="00F06B3D">
        <w:tblPrEx>
          <w:tblLook w:val="04A0"/>
        </w:tblPrEx>
        <w:trPr>
          <w:trHeight w:val="15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ΛΙΝΑΡΔΟΥ ΜΑΡΙΑ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ΔΗΜΗΤΡΙΟΣ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Α.Τ.Μ.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Δ</w:t>
            </w:r>
            <w:r>
              <w:rPr>
                <w:color w:val="000000"/>
                <w:sz w:val="18"/>
                <w:szCs w:val="18"/>
              </w:rPr>
              <w:t xml:space="preserve">ιερεύνηση της επιρροής της χρήσης κινητού τηλεφώνου στην </w:t>
            </w:r>
            <w:proofErr w:type="spellStart"/>
            <w:r>
              <w:rPr>
                <w:color w:val="000000"/>
                <w:sz w:val="18"/>
                <w:szCs w:val="18"/>
              </w:rPr>
              <w:t>οδηγική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συμπεριφορά μέσω πειράματος σε προσομοιωτή οδήγησης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8ο ΔΙΕΘΝΕΣ ΣΥΝΕΔΡΙΟ ΓΙΑ ΤΗΝ ΕΡΕΥΝΑ ΣΤΙΣ ΜΕΤΑΦΟΡΕΣ ΣΤΗΝ ΕΛΛΑΔΑ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Εσωτερικό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50</w:t>
            </w:r>
          </w:p>
        </w:tc>
      </w:tr>
      <w:tr w:rsidR="00B07928" w:rsidRPr="00206089" w:rsidTr="00F06B3D">
        <w:tblPrEx>
          <w:tblLook w:val="04A0"/>
        </w:tblPrEx>
        <w:trPr>
          <w:trHeight w:val="19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ΑΝΔΡΙΚΟΠΟΥΛΟΥ ΕΛΕΝΗ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ΖΑΦΕΙΡΙΟΣ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Α.Τ.Μ.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Διερεύνηση των επιπτώσεων της χρήσης κινητού τηλεφώνου στην </w:t>
            </w:r>
            <w:proofErr w:type="spellStart"/>
            <w:r>
              <w:rPr>
                <w:color w:val="000000"/>
                <w:sz w:val="18"/>
                <w:szCs w:val="18"/>
              </w:rPr>
              <w:t>οδηγική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συμπεριφορά κατά τη διάρκεια της νύχτας με προσομοιωτή οδήγησης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28" w:rsidRPr="00206089" w:rsidRDefault="00B07928" w:rsidP="00F06B3D">
            <w:pPr>
              <w:rPr>
                <w:color w:val="000000"/>
                <w:sz w:val="18"/>
                <w:szCs w:val="18"/>
              </w:rPr>
            </w:pPr>
            <w:r w:rsidRPr="00206089">
              <w:rPr>
                <w:color w:val="000000"/>
                <w:sz w:val="18"/>
                <w:szCs w:val="18"/>
              </w:rPr>
              <w:t>8ο ΔΙΕΘΝΕΣ ΣΥΝΕΔΡΙΟ ΓΙΑ ΤΗΝ ΕΡΕΥΝΑ ΣΤΙΣ ΜΕΤΑΦΟΡΕΣ ΣΤΗΝ ΕΛΛΑΔΑ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Εσωτερικό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928" w:rsidRPr="00206089" w:rsidRDefault="00B07928" w:rsidP="00F06B3D">
            <w:pPr>
              <w:jc w:val="center"/>
              <w:rPr>
                <w:sz w:val="18"/>
                <w:szCs w:val="18"/>
              </w:rPr>
            </w:pPr>
            <w:r w:rsidRPr="00206089">
              <w:rPr>
                <w:sz w:val="18"/>
                <w:szCs w:val="18"/>
              </w:rPr>
              <w:t>140</w:t>
            </w:r>
          </w:p>
        </w:tc>
      </w:tr>
      <w:tr w:rsidR="00B07928" w:rsidRPr="004F75F0" w:rsidTr="00F06B3D">
        <w:trPr>
          <w:trHeight w:val="100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928" w:rsidRPr="002B44C3" w:rsidRDefault="00B07928" w:rsidP="00F06B3D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2B44C3">
              <w:rPr>
                <w:b/>
                <w:i/>
                <w:iCs/>
                <w:sz w:val="18"/>
                <w:szCs w:val="18"/>
              </w:rPr>
              <w:t>ΣΥΝΟΛΟ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928" w:rsidRPr="004F75F0" w:rsidRDefault="00B07928" w:rsidP="00F06B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4.759</w:t>
            </w:r>
          </w:p>
        </w:tc>
      </w:tr>
    </w:tbl>
    <w:p w:rsidR="00B07928" w:rsidRDefault="00B07928" w:rsidP="00B07928">
      <w:pPr>
        <w:tabs>
          <w:tab w:val="left" w:pos="1702"/>
        </w:tabs>
        <w:spacing w:before="120" w:line="240" w:lineRule="atLeast"/>
        <w:ind w:left="-1134" w:right="-1075"/>
        <w:jc w:val="both"/>
      </w:pPr>
    </w:p>
    <w:p w:rsidR="00B07928" w:rsidRPr="00F821B2" w:rsidRDefault="00B07928" w:rsidP="00B07928">
      <w:pPr>
        <w:spacing w:before="120"/>
        <w:ind w:left="-851" w:right="-933"/>
        <w:jc w:val="both"/>
        <w:rPr>
          <w:bCs/>
        </w:rPr>
      </w:pPr>
      <w:r w:rsidRPr="00F821B2">
        <w:rPr>
          <w:bCs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ήτοι </w:t>
      </w:r>
      <w:r w:rsidRPr="00F821B2">
        <w:rPr>
          <w:b/>
          <w:bCs/>
        </w:rPr>
        <w:t>μέχρι και τις 18.10.2018</w:t>
      </w:r>
      <w:r w:rsidRPr="00F821B2">
        <w:rPr>
          <w:bCs/>
        </w:rPr>
        <w:t>.</w:t>
      </w:r>
    </w:p>
    <w:p w:rsidR="00B07928" w:rsidRDefault="00B07928" w:rsidP="00B07928">
      <w:pPr>
        <w:spacing w:before="120"/>
        <w:ind w:left="-851" w:right="-933"/>
        <w:jc w:val="both"/>
        <w:rPr>
          <w:bCs/>
        </w:rPr>
      </w:pPr>
      <w:r>
        <w:rPr>
          <w:bCs/>
        </w:rPr>
        <w:t>Η απόφαση της Συγκλήτου και τα σχετικά παραστατικά για την επίδοση της εν λόγω οικονομικής ενίσχυσης θα διαβιβασθούν στο Υπουργείο Πολιτισμού, Παιδείας &amp; Θρησκευμάτων και στην Αποκεντρωμένη Διοίκηση Αττικής για την τελική έγκριση. Σε περίπτωση που εγκριθεί η επίδοσή της, θα ενημερωθούν οι δικαιούχοι από το Τμήμα Διαχείρισης Περιουσίας για την παραλαβή των ενταλμάτων τους.</w:t>
      </w:r>
    </w:p>
    <w:p w:rsidR="00B07928" w:rsidRPr="007246C4" w:rsidRDefault="00B07928" w:rsidP="00B07928">
      <w:pPr>
        <w:spacing w:before="120"/>
        <w:ind w:left="-851" w:right="-649"/>
        <w:jc w:val="both"/>
        <w:rPr>
          <w:bCs/>
        </w:rPr>
      </w:pPr>
    </w:p>
    <w:p w:rsidR="00B07928" w:rsidRPr="00805F0E" w:rsidRDefault="00B07928" w:rsidP="00B07928">
      <w:pPr>
        <w:spacing w:before="120"/>
        <w:ind w:right="-508"/>
        <w:jc w:val="both"/>
        <w:rPr>
          <w:bCs/>
        </w:rPr>
      </w:pPr>
    </w:p>
    <w:tbl>
      <w:tblPr>
        <w:tblW w:w="8639" w:type="dxa"/>
        <w:tblInd w:w="618" w:type="dxa"/>
        <w:tblLook w:val="0000"/>
      </w:tblPr>
      <w:tblGrid>
        <w:gridCol w:w="4155"/>
        <w:gridCol w:w="4484"/>
      </w:tblGrid>
      <w:tr w:rsidR="00B07928" w:rsidRPr="00DD771C" w:rsidTr="00F06B3D">
        <w:tc>
          <w:tcPr>
            <w:tcW w:w="4155" w:type="dxa"/>
          </w:tcPr>
          <w:p w:rsidR="00B07928" w:rsidRPr="007F04A5" w:rsidRDefault="00B07928" w:rsidP="00F06B3D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4484" w:type="dxa"/>
          </w:tcPr>
          <w:p w:rsidR="00B07928" w:rsidRPr="00DD771C" w:rsidRDefault="00B07928" w:rsidP="00F06B3D">
            <w:pPr>
              <w:spacing w:line="240" w:lineRule="atLeast"/>
              <w:jc w:val="center"/>
              <w:rPr>
                <w:b/>
                <w:bCs/>
              </w:rPr>
            </w:pPr>
            <w:r w:rsidRPr="00DD771C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B07928" w:rsidRPr="00DD771C" w:rsidRDefault="00B07928" w:rsidP="00F06B3D">
            <w:pPr>
              <w:spacing w:line="240" w:lineRule="atLeast"/>
              <w:jc w:val="center"/>
              <w:rPr>
                <w:b/>
                <w:bCs/>
              </w:rPr>
            </w:pPr>
            <w:r w:rsidRPr="00DD771C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B07928" w:rsidRPr="00DD771C" w:rsidRDefault="00B07928" w:rsidP="00F06B3D">
            <w:pPr>
              <w:spacing w:line="240" w:lineRule="atLeast"/>
              <w:jc w:val="center"/>
              <w:rPr>
                <w:b/>
                <w:bCs/>
              </w:rPr>
            </w:pPr>
            <w:r w:rsidRPr="00DD771C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B07928" w:rsidRPr="00DD771C" w:rsidRDefault="00B07928" w:rsidP="00F06B3D">
            <w:pPr>
              <w:spacing w:line="240" w:lineRule="atLeast"/>
              <w:jc w:val="center"/>
              <w:rPr>
                <w:b/>
                <w:bCs/>
              </w:rPr>
            </w:pPr>
          </w:p>
          <w:p w:rsidR="00B07928" w:rsidRDefault="00B07928" w:rsidP="00F06B3D">
            <w:pPr>
              <w:spacing w:line="240" w:lineRule="atLeast"/>
              <w:rPr>
                <w:b/>
                <w:bCs/>
                <w:lang w:val="en-US"/>
              </w:rPr>
            </w:pPr>
          </w:p>
          <w:p w:rsidR="00B07928" w:rsidRDefault="00B07928" w:rsidP="00F06B3D">
            <w:pPr>
              <w:spacing w:line="240" w:lineRule="atLeast"/>
              <w:rPr>
                <w:b/>
                <w:bCs/>
                <w:lang w:val="en-US"/>
              </w:rPr>
            </w:pPr>
          </w:p>
          <w:p w:rsidR="00B07928" w:rsidRPr="00DD771C" w:rsidRDefault="00B07928" w:rsidP="00F06B3D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  <w:tr w:rsidR="00B07928" w:rsidRPr="00DD771C" w:rsidTr="00F06B3D">
        <w:tc>
          <w:tcPr>
            <w:tcW w:w="4155" w:type="dxa"/>
          </w:tcPr>
          <w:p w:rsidR="00B07928" w:rsidRPr="00DD771C" w:rsidRDefault="00B07928" w:rsidP="00F06B3D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484" w:type="dxa"/>
          </w:tcPr>
          <w:p w:rsidR="00B07928" w:rsidRPr="00DD771C" w:rsidRDefault="00B07928" w:rsidP="00F06B3D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 w:rsidRPr="00DD771C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B07928" w:rsidRPr="00DD771C" w:rsidRDefault="00B07928" w:rsidP="00F06B3D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307116" w:rsidRDefault="00307116"/>
    <w:sectPr w:rsidR="00307116" w:rsidSect="00307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928"/>
    <w:rsid w:val="00307116"/>
    <w:rsid w:val="00B07928"/>
    <w:rsid w:val="00B807C6"/>
    <w:rsid w:val="00FC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B07928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B07928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079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792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2</cp:revision>
  <dcterms:created xsi:type="dcterms:W3CDTF">2018-10-08T10:28:00Z</dcterms:created>
  <dcterms:modified xsi:type="dcterms:W3CDTF">2018-10-08T10:28:00Z</dcterms:modified>
</cp:coreProperties>
</file>