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B15" w:rsidRDefault="00801B15" w:rsidP="00801B15">
      <w:pPr>
        <w:pStyle w:val="1"/>
        <w:jc w:val="right"/>
        <w:rPr>
          <w:bCs w:val="0"/>
        </w:rPr>
      </w:pPr>
    </w:p>
    <w:tbl>
      <w:tblPr>
        <w:tblpPr w:leftFromText="180" w:rightFromText="180" w:vertAnchor="text" w:horzAnchor="margin" w:tblpXSpec="center" w:tblpY="43"/>
        <w:tblW w:w="9682" w:type="dxa"/>
        <w:tblLayout w:type="fixed"/>
        <w:tblLook w:val="0000"/>
      </w:tblPr>
      <w:tblGrid>
        <w:gridCol w:w="1702"/>
        <w:gridCol w:w="7980"/>
      </w:tblGrid>
      <w:tr w:rsidR="00801B15" w:rsidRPr="002E355E" w:rsidTr="00101E7F">
        <w:tc>
          <w:tcPr>
            <w:tcW w:w="1702" w:type="dxa"/>
            <w:tcBorders>
              <w:top w:val="single" w:sz="6" w:space="0" w:color="auto"/>
              <w:left w:val="single" w:sz="6" w:space="0" w:color="auto"/>
              <w:bottom w:val="single" w:sz="6" w:space="0" w:color="auto"/>
              <w:right w:val="nil"/>
            </w:tcBorders>
            <w:shd w:val="clear" w:color="auto" w:fill="auto"/>
          </w:tcPr>
          <w:p w:rsidR="00801B15" w:rsidRPr="002E355E" w:rsidRDefault="00801B15" w:rsidP="00101E7F">
            <w:pPr>
              <w:tabs>
                <w:tab w:val="left" w:pos="1702"/>
              </w:tabs>
              <w:spacing w:line="240" w:lineRule="atLeast"/>
              <w:ind w:right="-58"/>
              <w:jc w:val="center"/>
            </w:pPr>
            <w:r>
              <w:rPr>
                <w:noProof/>
              </w:rPr>
              <w:drawing>
                <wp:inline distT="0" distB="0" distL="0" distR="0">
                  <wp:extent cx="857250" cy="762000"/>
                  <wp:effectExtent l="19050" t="0" r="0" b="0"/>
                  <wp:docPr id="3"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4" cstate="print"/>
                          <a:srcRect/>
                          <a:stretch>
                            <a:fillRect/>
                          </a:stretch>
                        </pic:blipFill>
                        <pic:spPr bwMode="auto">
                          <a:xfrm>
                            <a:off x="0" y="0"/>
                            <a:ext cx="857250" cy="762000"/>
                          </a:xfrm>
                          <a:prstGeom prst="rect">
                            <a:avLst/>
                          </a:prstGeom>
                          <a:noFill/>
                          <a:ln w="9525">
                            <a:noFill/>
                            <a:miter lim="800000"/>
                            <a:headEnd/>
                            <a:tailEnd/>
                          </a:ln>
                        </pic:spPr>
                      </pic:pic>
                    </a:graphicData>
                  </a:graphic>
                </wp:inline>
              </w:drawing>
            </w:r>
          </w:p>
        </w:tc>
        <w:tc>
          <w:tcPr>
            <w:tcW w:w="7980" w:type="dxa"/>
            <w:tcBorders>
              <w:top w:val="single" w:sz="6" w:space="0" w:color="auto"/>
              <w:left w:val="nil"/>
              <w:bottom w:val="single" w:sz="6" w:space="0" w:color="auto"/>
              <w:right w:val="single" w:sz="6" w:space="0" w:color="auto"/>
            </w:tcBorders>
            <w:shd w:val="clear" w:color="auto" w:fill="auto"/>
          </w:tcPr>
          <w:p w:rsidR="00801B15" w:rsidRPr="002E355E" w:rsidRDefault="00801B15" w:rsidP="00101E7F">
            <w:pPr>
              <w:tabs>
                <w:tab w:val="left" w:pos="1702"/>
              </w:tabs>
              <w:spacing w:line="240" w:lineRule="atLeast"/>
              <w:ind w:right="-57"/>
              <w:jc w:val="center"/>
              <w:rPr>
                <w:b/>
              </w:rPr>
            </w:pPr>
            <w:r w:rsidRPr="002E355E">
              <w:rPr>
                <w:b/>
              </w:rPr>
              <w:t>EΘΝΙΚΟ  ΜΕΤΣΟΒΙΟ  ΠΟΛΥΤΕΧΝΕΙΟ</w:t>
            </w:r>
          </w:p>
          <w:p w:rsidR="00801B15" w:rsidRPr="002E355E" w:rsidRDefault="00801B15" w:rsidP="00101E7F">
            <w:pPr>
              <w:tabs>
                <w:tab w:val="left" w:pos="1702"/>
              </w:tabs>
              <w:spacing w:line="240" w:lineRule="atLeast"/>
              <w:ind w:right="-57"/>
              <w:jc w:val="center"/>
              <w:rPr>
                <w:b/>
              </w:rPr>
            </w:pPr>
            <w:r w:rsidRPr="002E355E">
              <w:rPr>
                <w:b/>
              </w:rPr>
              <w:t>ΓΕΝΙΚΗ ΔΙΕΥΘΥΝΣΗ ΔΙΟΙΚΗΤΙΚΗΣ ΣΤΗΡΙΞΗΣ &amp; ΣΠΟΥΔΩΝ</w:t>
            </w:r>
          </w:p>
          <w:p w:rsidR="00801B15" w:rsidRPr="002E355E" w:rsidRDefault="00801B15" w:rsidP="00101E7F">
            <w:pPr>
              <w:tabs>
                <w:tab w:val="left" w:pos="1702"/>
              </w:tabs>
              <w:spacing w:line="240" w:lineRule="atLeast"/>
              <w:ind w:right="-57"/>
              <w:jc w:val="center"/>
              <w:rPr>
                <w:b/>
              </w:rPr>
            </w:pPr>
            <w:r w:rsidRPr="002E355E">
              <w:rPr>
                <w:b/>
              </w:rPr>
              <w:t>ΔΙΕΥΘΥΝΣΗ ΜΕΡΙΜΝΑΣ</w:t>
            </w:r>
          </w:p>
          <w:p w:rsidR="00801B15" w:rsidRPr="002E355E" w:rsidRDefault="00801B15" w:rsidP="00101E7F">
            <w:pPr>
              <w:tabs>
                <w:tab w:val="left" w:pos="1702"/>
              </w:tabs>
              <w:spacing w:line="240" w:lineRule="atLeast"/>
              <w:ind w:right="-57"/>
              <w:jc w:val="center"/>
              <w:rPr>
                <w:b/>
              </w:rPr>
            </w:pPr>
            <w:r w:rsidRPr="002E355E">
              <w:rPr>
                <w:b/>
              </w:rPr>
              <w:t>ΤΜΗΜΑ  ΦΟΙΤΗΤΙΚΗΣ  ΜΕΡΙΜΝΑΣ</w:t>
            </w:r>
          </w:p>
          <w:p w:rsidR="00801B15" w:rsidRPr="002E355E" w:rsidRDefault="00801B15" w:rsidP="00101E7F">
            <w:pPr>
              <w:tabs>
                <w:tab w:val="left" w:pos="1702"/>
              </w:tabs>
              <w:spacing w:line="240" w:lineRule="atLeast"/>
              <w:ind w:right="-57"/>
              <w:jc w:val="center"/>
              <w:rPr>
                <w:b/>
              </w:rPr>
            </w:pPr>
            <w:r w:rsidRPr="00D72CE7">
              <w:rPr>
                <w:sz w:val="22"/>
                <w:szCs w:val="22"/>
              </w:rPr>
              <w:t xml:space="preserve">Ηρ.Πολυτεχνείου 9, Πολυτεχνειούπολη, Ζωγράφου,15780, Αθήνα </w:t>
            </w:r>
            <w:r w:rsidRPr="00D72CE7">
              <w:rPr>
                <w:sz w:val="22"/>
                <w:szCs w:val="22"/>
              </w:rPr>
              <w:sym w:font="Wingdings" w:char="0028"/>
            </w:r>
            <w:r w:rsidRPr="00D72CE7">
              <w:rPr>
                <w:sz w:val="22"/>
                <w:szCs w:val="22"/>
              </w:rPr>
              <w:t>2107721928</w:t>
            </w:r>
          </w:p>
        </w:tc>
      </w:tr>
    </w:tbl>
    <w:p w:rsidR="00801B15" w:rsidRPr="004E4BC9" w:rsidRDefault="00801B15" w:rsidP="00801B15"/>
    <w:p w:rsidR="00801B15" w:rsidRPr="000151B6" w:rsidRDefault="00801B15" w:rsidP="00801B15">
      <w:pPr>
        <w:pStyle w:val="1"/>
        <w:jc w:val="right"/>
        <w:rPr>
          <w:lang w:val="en-US"/>
        </w:rPr>
      </w:pPr>
      <w:r w:rsidRPr="000151B6">
        <w:t xml:space="preserve">Ημερομηνία </w:t>
      </w:r>
      <w:r w:rsidRPr="000151B6">
        <w:rPr>
          <w:lang w:val="en-US"/>
        </w:rPr>
        <w:t>05/09/2018</w:t>
      </w:r>
    </w:p>
    <w:p w:rsidR="00801B15" w:rsidRPr="000151B6" w:rsidRDefault="00801B15" w:rsidP="00801B15">
      <w:pPr>
        <w:pStyle w:val="2"/>
        <w:rPr>
          <w:i/>
          <w:sz w:val="24"/>
          <w:u w:val="single"/>
        </w:rPr>
      </w:pPr>
    </w:p>
    <w:p w:rsidR="00801B15" w:rsidRPr="000151B6" w:rsidRDefault="00801B15" w:rsidP="00801B15">
      <w:pPr>
        <w:pStyle w:val="2"/>
        <w:rPr>
          <w:i/>
          <w:sz w:val="28"/>
          <w:szCs w:val="28"/>
          <w:u w:val="single"/>
        </w:rPr>
      </w:pPr>
      <w:r w:rsidRPr="000151B6">
        <w:rPr>
          <w:i/>
          <w:sz w:val="28"/>
          <w:szCs w:val="28"/>
          <w:u w:val="single"/>
        </w:rPr>
        <w:t>ΑΝΑΚΟΙΝΩΣΗ</w:t>
      </w:r>
    </w:p>
    <w:p w:rsidR="00801B15" w:rsidRPr="000151B6" w:rsidRDefault="00801B15" w:rsidP="00801B15">
      <w:pPr>
        <w:jc w:val="both"/>
      </w:pPr>
    </w:p>
    <w:p w:rsidR="00801B15" w:rsidRPr="000151B6" w:rsidRDefault="00801B15" w:rsidP="00801B15">
      <w:pPr>
        <w:pStyle w:val="a3"/>
        <w:tabs>
          <w:tab w:val="left" w:pos="1702"/>
        </w:tabs>
        <w:spacing w:before="120"/>
        <w:ind w:left="-142" w:right="-57"/>
        <w:jc w:val="both"/>
        <w:rPr>
          <w:b w:val="0"/>
          <w:bCs w:val="0"/>
          <w:sz w:val="24"/>
        </w:rPr>
      </w:pPr>
      <w:r w:rsidRPr="000151B6">
        <w:rPr>
          <w:b w:val="0"/>
          <w:bCs w:val="0"/>
          <w:sz w:val="24"/>
        </w:rPr>
        <w:t>Ανακοινώνεται στους φοιτητές του Ιδρύματος ότι, σύμφωνα με την απόφαση της 05ης/2018 Συνεδρίασης της Συγκλήτου (04.07.2018) τροποποιείται το θέμα 2.4.11 της από 02.11.2017 απόφασης της Συγκλήτου ως προς τους δικαιούχους της Σχολής Πολιτικών Μηχανικών της υποτροφίας «Νικολάου Ι. Κρητικού» ακαδ. έτους 2015-2016 ως ακολούθως:</w:t>
      </w:r>
    </w:p>
    <w:p w:rsidR="00801B15" w:rsidRPr="000151B6" w:rsidRDefault="00801B15" w:rsidP="00801B15">
      <w:pPr>
        <w:pStyle w:val="a3"/>
        <w:tabs>
          <w:tab w:val="left" w:pos="1702"/>
        </w:tabs>
        <w:spacing w:before="120"/>
        <w:ind w:left="-142" w:right="-57"/>
        <w:jc w:val="both"/>
        <w:rPr>
          <w:b w:val="0"/>
          <w:bCs w:val="0"/>
          <w:sz w:val="24"/>
        </w:rPr>
      </w:pPr>
      <w:r w:rsidRPr="000151B6">
        <w:rPr>
          <w:b w:val="0"/>
          <w:bCs w:val="0"/>
          <w:sz w:val="24"/>
        </w:rPr>
        <w:t>Α) Δεν χορηγείται  η εν λόγω υποτροφία στον κ. Ζαϊμη Σωτήριο του Γεωργίου, φοιτητή της Σχολής Πολιτικών Μηχανικών, καθώς έχει λάβει την Υποτροφία «ΕΥΑΓΓΕΛΟΥ ΑΠΕΡΓΗ» για την εισαγωγή του στο ΕΜΠ το έτος 2015 και ως εκ τούτου δεν δύναται να λάβει άλλη υποτροφία για τις ίδιες σπουδές (δηλ. και για τις παρούσες και το ίδιο επίπεδο σπουδών, ήτοι στην περίπτωση του κ. Ζαΐμη για προπτυχιακές σπουδές) από την ίδια ή άλλη κληρονομιά, κληροδοσία ή δωρεά σύμφωνα με το άρθρο 3 του από 23.08.1941 Κ.Δ.</w:t>
      </w:r>
    </w:p>
    <w:p w:rsidR="00801B15" w:rsidRPr="000151B6" w:rsidRDefault="00801B15" w:rsidP="00801B15">
      <w:pPr>
        <w:pStyle w:val="a3"/>
        <w:tabs>
          <w:tab w:val="left" w:pos="1702"/>
        </w:tabs>
        <w:spacing w:before="120"/>
        <w:ind w:left="-142" w:right="-57"/>
        <w:jc w:val="both"/>
        <w:rPr>
          <w:bCs w:val="0"/>
          <w:sz w:val="24"/>
        </w:rPr>
      </w:pPr>
      <w:r w:rsidRPr="000151B6">
        <w:rPr>
          <w:b w:val="0"/>
          <w:bCs w:val="0"/>
          <w:sz w:val="24"/>
        </w:rPr>
        <w:t xml:space="preserve">Β) Χορηγείται η πλήρης υποτροφία στη μοναδική δικαιούχο της Σχολής Πολιτικών Μηχανικών, κα </w:t>
      </w:r>
      <w:r w:rsidRPr="000151B6">
        <w:rPr>
          <w:bCs w:val="0"/>
          <w:sz w:val="24"/>
        </w:rPr>
        <w:t>Σπινάσα Αθηνά του Ιωάννη, ύψους 444,00 €.</w:t>
      </w:r>
    </w:p>
    <w:p w:rsidR="00801B15" w:rsidRPr="000151B6" w:rsidRDefault="00801B15" w:rsidP="00801B15">
      <w:pPr>
        <w:ind w:left="-142" w:right="-59"/>
        <w:jc w:val="both"/>
      </w:pPr>
      <w:r w:rsidRPr="000151B6">
        <w:t xml:space="preserve">  </w:t>
      </w:r>
    </w:p>
    <w:p w:rsidR="00801B15" w:rsidRPr="000151B6" w:rsidRDefault="00801B15" w:rsidP="00801B15">
      <w:pPr>
        <w:pStyle w:val="a3"/>
        <w:tabs>
          <w:tab w:val="left" w:pos="1702"/>
        </w:tabs>
        <w:spacing w:before="120"/>
        <w:ind w:left="-142" w:right="-57"/>
        <w:jc w:val="both"/>
        <w:rPr>
          <w:b w:val="0"/>
          <w:bCs w:val="0"/>
          <w:sz w:val="24"/>
        </w:rPr>
      </w:pPr>
      <w:r w:rsidRPr="000151B6">
        <w:rPr>
          <w:bCs w:val="0"/>
          <w:sz w:val="24"/>
        </w:rPr>
        <w:t>Τυχόν ενστάσεις</w:t>
      </w:r>
      <w:r w:rsidRPr="000151B6">
        <w:rPr>
          <w:b w:val="0"/>
          <w:bCs w:val="0"/>
          <w:sz w:val="24"/>
        </w:rPr>
        <w:t xml:space="preserve"> μπορούν να υποβληθούν εντός δέκα ημερών από την ανάρτηση της σχετικής απόφασης στην ιστοσελίδα του ΕΜΠ και στις προθήκες του Τμήματος Φοιτητικής Μέριμνας, </w:t>
      </w:r>
      <w:r w:rsidRPr="000151B6">
        <w:rPr>
          <w:bCs w:val="0"/>
          <w:sz w:val="24"/>
        </w:rPr>
        <w:t>ήτοι μέχρι και τις 17/09/2018</w:t>
      </w:r>
      <w:r w:rsidRPr="000151B6">
        <w:rPr>
          <w:b w:val="0"/>
          <w:bCs w:val="0"/>
          <w:sz w:val="24"/>
        </w:rPr>
        <w:t>.</w:t>
      </w:r>
    </w:p>
    <w:p w:rsidR="00801B15" w:rsidRPr="000151B6" w:rsidRDefault="00801B15" w:rsidP="00801B15">
      <w:pPr>
        <w:jc w:val="both"/>
      </w:pPr>
    </w:p>
    <w:p w:rsidR="00801B15" w:rsidRPr="000151B6" w:rsidRDefault="00801B15" w:rsidP="00801B15">
      <w:pPr>
        <w:spacing w:before="120"/>
        <w:ind w:left="-142" w:right="-59"/>
        <w:jc w:val="both"/>
        <w:rPr>
          <w:bCs/>
        </w:rPr>
      </w:pPr>
      <w:r w:rsidRPr="000151B6">
        <w:rPr>
          <w:bCs/>
        </w:rPr>
        <w:t>Η απόφαση της Συγκλήτου και τα σχετικά παραστατικά για την επίδοση της εν λόγω υποτροφίας θα διαβιβασθούν στο Υπουργείο Παιδείας, Έρευνας &amp; Θρησκευμάτων και στην Αποκεντρωμένη Διοίκηση Αττικής για την τελική έγκριση. Σε περίπτωση που εγκριθεί η επίδοσή της, θα ενημερωθούν οι δικαιούχοι από το Τμήμα Διαχείρισης Περιουσίας για την παραλαβή των ενταλμάτων τους.</w:t>
      </w:r>
    </w:p>
    <w:p w:rsidR="00801B15" w:rsidRPr="000151B6" w:rsidRDefault="00801B15" w:rsidP="00801B15">
      <w:pPr>
        <w:spacing w:before="120"/>
        <w:ind w:left="-284" w:right="-766"/>
        <w:jc w:val="both"/>
        <w:rPr>
          <w:bCs/>
          <w:sz w:val="22"/>
          <w:szCs w:val="22"/>
        </w:rPr>
      </w:pPr>
    </w:p>
    <w:tbl>
      <w:tblPr>
        <w:tblW w:w="9953" w:type="dxa"/>
        <w:tblInd w:w="-311" w:type="dxa"/>
        <w:tblLook w:val="0000"/>
      </w:tblPr>
      <w:tblGrid>
        <w:gridCol w:w="319"/>
        <w:gridCol w:w="4372"/>
        <w:gridCol w:w="220"/>
        <w:gridCol w:w="4176"/>
        <w:gridCol w:w="866"/>
      </w:tblGrid>
      <w:tr w:rsidR="00801B15" w:rsidRPr="000151B6" w:rsidTr="00101E7F">
        <w:trPr>
          <w:gridBefore w:val="1"/>
          <w:gridAfter w:val="1"/>
          <w:wBefore w:w="319" w:type="dxa"/>
          <w:wAfter w:w="866" w:type="dxa"/>
          <w:trHeight w:val="1256"/>
        </w:trPr>
        <w:tc>
          <w:tcPr>
            <w:tcW w:w="4372" w:type="dxa"/>
          </w:tcPr>
          <w:p w:rsidR="00801B15" w:rsidRPr="000151B6" w:rsidRDefault="00801B15" w:rsidP="00101E7F">
            <w:pPr>
              <w:spacing w:line="240" w:lineRule="atLeast"/>
              <w:ind w:right="-766"/>
              <w:jc w:val="center"/>
              <w:rPr>
                <w:b/>
                <w:bCs/>
                <w:szCs w:val="20"/>
              </w:rPr>
            </w:pPr>
          </w:p>
          <w:p w:rsidR="00801B15" w:rsidRPr="000151B6" w:rsidRDefault="00801B15" w:rsidP="00101E7F">
            <w:pPr>
              <w:spacing w:line="240" w:lineRule="atLeast"/>
              <w:ind w:right="-766"/>
              <w:jc w:val="center"/>
              <w:rPr>
                <w:b/>
                <w:bCs/>
                <w:szCs w:val="20"/>
              </w:rPr>
            </w:pPr>
          </w:p>
          <w:p w:rsidR="00801B15" w:rsidRPr="000151B6" w:rsidRDefault="00801B15" w:rsidP="00101E7F">
            <w:pPr>
              <w:spacing w:line="240" w:lineRule="atLeast"/>
              <w:ind w:right="-766"/>
              <w:jc w:val="center"/>
              <w:rPr>
                <w:b/>
                <w:bCs/>
                <w:szCs w:val="20"/>
              </w:rPr>
            </w:pPr>
          </w:p>
          <w:p w:rsidR="00801B15" w:rsidRPr="000151B6" w:rsidRDefault="00801B15" w:rsidP="00101E7F">
            <w:pPr>
              <w:spacing w:line="240" w:lineRule="atLeast"/>
              <w:ind w:right="-766"/>
              <w:jc w:val="center"/>
              <w:rPr>
                <w:b/>
                <w:bCs/>
                <w:sz w:val="16"/>
                <w:szCs w:val="16"/>
              </w:rPr>
            </w:pPr>
          </w:p>
          <w:p w:rsidR="00801B15" w:rsidRPr="000151B6" w:rsidRDefault="00801B15" w:rsidP="00101E7F">
            <w:pPr>
              <w:spacing w:line="240" w:lineRule="atLeast"/>
              <w:ind w:right="-766"/>
              <w:jc w:val="center"/>
              <w:rPr>
                <w:b/>
                <w:bCs/>
                <w:sz w:val="16"/>
                <w:szCs w:val="16"/>
              </w:rPr>
            </w:pPr>
          </w:p>
          <w:p w:rsidR="00801B15" w:rsidRPr="000151B6" w:rsidRDefault="00801B15" w:rsidP="00101E7F">
            <w:pPr>
              <w:spacing w:line="240" w:lineRule="atLeast"/>
              <w:ind w:right="-766"/>
              <w:jc w:val="center"/>
              <w:rPr>
                <w:b/>
                <w:bCs/>
                <w:szCs w:val="20"/>
              </w:rPr>
            </w:pPr>
          </w:p>
        </w:tc>
        <w:tc>
          <w:tcPr>
            <w:tcW w:w="4396" w:type="dxa"/>
            <w:gridSpan w:val="2"/>
          </w:tcPr>
          <w:p w:rsidR="00801B15" w:rsidRPr="000151B6" w:rsidRDefault="00801B15" w:rsidP="00101E7F">
            <w:pPr>
              <w:spacing w:line="240" w:lineRule="atLeast"/>
              <w:ind w:right="-766"/>
              <w:jc w:val="center"/>
              <w:rPr>
                <w:b/>
                <w:bCs/>
              </w:rPr>
            </w:pPr>
          </w:p>
          <w:p w:rsidR="00801B15" w:rsidRPr="000151B6" w:rsidRDefault="00801B15" w:rsidP="00101E7F">
            <w:pPr>
              <w:spacing w:line="240" w:lineRule="atLeast"/>
              <w:ind w:right="-766"/>
              <w:jc w:val="center"/>
              <w:rPr>
                <w:b/>
                <w:bCs/>
              </w:rPr>
            </w:pPr>
            <w:r w:rsidRPr="000151B6">
              <w:rPr>
                <w:b/>
                <w:bCs/>
                <w:sz w:val="22"/>
                <w:szCs w:val="22"/>
              </w:rPr>
              <w:t>ΜΕ ΕΝΤΟΛΗ ΤΟΥ ΠΡΥΤΑΝΗ</w:t>
            </w:r>
          </w:p>
          <w:p w:rsidR="00801B15" w:rsidRPr="000151B6" w:rsidRDefault="00801B15" w:rsidP="00101E7F">
            <w:pPr>
              <w:spacing w:line="240" w:lineRule="atLeast"/>
              <w:ind w:right="-766"/>
              <w:jc w:val="center"/>
              <w:rPr>
                <w:b/>
                <w:bCs/>
              </w:rPr>
            </w:pPr>
            <w:r w:rsidRPr="000151B6">
              <w:rPr>
                <w:b/>
                <w:bCs/>
                <w:sz w:val="22"/>
                <w:szCs w:val="22"/>
              </w:rPr>
              <w:t>Ο ΠΡΟΪΣΤΑΜΕΝΟΣ ΤΗΣ</w:t>
            </w:r>
          </w:p>
          <w:p w:rsidR="00801B15" w:rsidRPr="000151B6" w:rsidRDefault="00801B15" w:rsidP="00101E7F">
            <w:pPr>
              <w:spacing w:line="240" w:lineRule="atLeast"/>
              <w:ind w:right="-766"/>
              <w:jc w:val="center"/>
              <w:rPr>
                <w:b/>
                <w:bCs/>
              </w:rPr>
            </w:pPr>
            <w:r w:rsidRPr="000151B6">
              <w:rPr>
                <w:b/>
                <w:bCs/>
                <w:sz w:val="22"/>
                <w:szCs w:val="22"/>
              </w:rPr>
              <w:t>Δ/ΝΣΗΣ ΜΕΡΙΜΝΑΣ</w:t>
            </w:r>
          </w:p>
          <w:p w:rsidR="00801B15" w:rsidRPr="000151B6" w:rsidRDefault="00801B15" w:rsidP="00101E7F">
            <w:pPr>
              <w:spacing w:line="240" w:lineRule="atLeast"/>
              <w:ind w:right="-766"/>
              <w:jc w:val="center"/>
              <w:rPr>
                <w:b/>
                <w:bCs/>
              </w:rPr>
            </w:pPr>
          </w:p>
          <w:p w:rsidR="00801B15" w:rsidRPr="000151B6" w:rsidRDefault="00801B15" w:rsidP="00101E7F">
            <w:pPr>
              <w:spacing w:line="240" w:lineRule="atLeast"/>
              <w:ind w:right="-766"/>
              <w:jc w:val="center"/>
              <w:rPr>
                <w:b/>
                <w:bCs/>
              </w:rPr>
            </w:pPr>
          </w:p>
        </w:tc>
      </w:tr>
      <w:tr w:rsidR="00801B15" w:rsidRPr="000151B6" w:rsidTr="00101E7F">
        <w:trPr>
          <w:gridBefore w:val="1"/>
          <w:gridAfter w:val="1"/>
          <w:wBefore w:w="319" w:type="dxa"/>
          <w:wAfter w:w="866" w:type="dxa"/>
          <w:trHeight w:val="259"/>
        </w:trPr>
        <w:tc>
          <w:tcPr>
            <w:tcW w:w="4372" w:type="dxa"/>
          </w:tcPr>
          <w:p w:rsidR="00801B15" w:rsidRPr="000151B6" w:rsidRDefault="00801B15" w:rsidP="00101E7F">
            <w:pPr>
              <w:spacing w:line="240" w:lineRule="atLeast"/>
              <w:ind w:right="-766"/>
              <w:jc w:val="center"/>
              <w:rPr>
                <w:b/>
                <w:bCs/>
                <w:szCs w:val="20"/>
                <w:lang w:val="en-US"/>
              </w:rPr>
            </w:pPr>
          </w:p>
        </w:tc>
        <w:tc>
          <w:tcPr>
            <w:tcW w:w="4396" w:type="dxa"/>
            <w:gridSpan w:val="2"/>
          </w:tcPr>
          <w:p w:rsidR="00801B15" w:rsidRPr="000151B6" w:rsidRDefault="00801B15" w:rsidP="00101E7F">
            <w:pPr>
              <w:spacing w:line="240" w:lineRule="atLeast"/>
              <w:ind w:right="-766"/>
              <w:jc w:val="center"/>
              <w:rPr>
                <w:b/>
                <w:bCs/>
                <w:lang w:val="en-US"/>
              </w:rPr>
            </w:pPr>
          </w:p>
        </w:tc>
      </w:tr>
      <w:tr w:rsidR="00801B15" w:rsidRPr="000151B6" w:rsidTr="00101E7F">
        <w:trPr>
          <w:trHeight w:val="492"/>
        </w:trPr>
        <w:tc>
          <w:tcPr>
            <w:tcW w:w="4911" w:type="dxa"/>
            <w:gridSpan w:val="3"/>
          </w:tcPr>
          <w:p w:rsidR="00801B15" w:rsidRPr="000151B6" w:rsidRDefault="00801B15" w:rsidP="00101E7F">
            <w:pPr>
              <w:spacing w:line="240" w:lineRule="atLeast"/>
              <w:ind w:right="-766"/>
              <w:rPr>
                <w:b/>
                <w:bCs/>
              </w:rPr>
            </w:pPr>
          </w:p>
        </w:tc>
        <w:tc>
          <w:tcPr>
            <w:tcW w:w="4935" w:type="dxa"/>
            <w:gridSpan w:val="2"/>
          </w:tcPr>
          <w:p w:rsidR="00801B15" w:rsidRPr="000151B6" w:rsidRDefault="00801B15" w:rsidP="00101E7F">
            <w:pPr>
              <w:spacing w:line="240" w:lineRule="atLeast"/>
              <w:ind w:right="-766"/>
              <w:rPr>
                <w:b/>
                <w:bCs/>
              </w:rPr>
            </w:pPr>
            <w:r w:rsidRPr="000151B6">
              <w:rPr>
                <w:b/>
                <w:bCs/>
                <w:sz w:val="22"/>
                <w:szCs w:val="22"/>
              </w:rPr>
              <w:t xml:space="preserve">                      ΦΡ. ΒΟΡΤΕΛΙΝΟΣ</w:t>
            </w:r>
          </w:p>
          <w:p w:rsidR="00801B15" w:rsidRPr="000151B6" w:rsidRDefault="00801B15" w:rsidP="00101E7F">
            <w:pPr>
              <w:spacing w:line="240" w:lineRule="atLeast"/>
              <w:ind w:right="-766"/>
              <w:rPr>
                <w:b/>
                <w:bCs/>
              </w:rPr>
            </w:pPr>
          </w:p>
          <w:p w:rsidR="00801B15" w:rsidRPr="000151B6" w:rsidRDefault="00801B15" w:rsidP="00101E7F">
            <w:pPr>
              <w:spacing w:line="240" w:lineRule="atLeast"/>
              <w:ind w:right="-766"/>
              <w:rPr>
                <w:b/>
                <w:bCs/>
              </w:rPr>
            </w:pPr>
          </w:p>
          <w:p w:rsidR="00801B15" w:rsidRPr="000151B6" w:rsidRDefault="00801B15" w:rsidP="00101E7F">
            <w:pPr>
              <w:spacing w:line="240" w:lineRule="atLeast"/>
              <w:ind w:right="-766"/>
              <w:rPr>
                <w:b/>
                <w:bCs/>
              </w:rPr>
            </w:pPr>
          </w:p>
        </w:tc>
      </w:tr>
    </w:tbl>
    <w:p w:rsidR="00151D49" w:rsidRDefault="00151D49"/>
    <w:sectPr w:rsidR="00151D49" w:rsidSect="00151D4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1B15"/>
    <w:rsid w:val="00062A27"/>
    <w:rsid w:val="00151D49"/>
    <w:rsid w:val="00801B15"/>
    <w:rsid w:val="00951B86"/>
    <w:rsid w:val="00CB77B9"/>
    <w:rsid w:val="00F90C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B15"/>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801B15"/>
    <w:pPr>
      <w:keepNext/>
      <w:outlineLvl w:val="0"/>
    </w:pPr>
    <w:rPr>
      <w:b/>
      <w:bCs/>
    </w:rPr>
  </w:style>
  <w:style w:type="paragraph" w:styleId="2">
    <w:name w:val="heading 2"/>
    <w:basedOn w:val="a"/>
    <w:next w:val="a"/>
    <w:link w:val="2Char"/>
    <w:qFormat/>
    <w:rsid w:val="00801B15"/>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01B15"/>
    <w:rPr>
      <w:rFonts w:ascii="Times New Roman" w:eastAsia="Times New Roman" w:hAnsi="Times New Roman" w:cs="Times New Roman"/>
      <w:b/>
      <w:bCs/>
      <w:sz w:val="24"/>
      <w:szCs w:val="24"/>
      <w:lang w:eastAsia="el-GR"/>
    </w:rPr>
  </w:style>
  <w:style w:type="character" w:customStyle="1" w:styleId="2Char">
    <w:name w:val="Επικεφαλίδα 2 Char"/>
    <w:basedOn w:val="a0"/>
    <w:link w:val="2"/>
    <w:rsid w:val="00801B15"/>
    <w:rPr>
      <w:rFonts w:ascii="Times New Roman" w:eastAsia="Times New Roman" w:hAnsi="Times New Roman" w:cs="Times New Roman"/>
      <w:b/>
      <w:bCs/>
      <w:sz w:val="36"/>
      <w:szCs w:val="24"/>
      <w:lang w:eastAsia="el-GR"/>
    </w:rPr>
  </w:style>
  <w:style w:type="paragraph" w:styleId="a3">
    <w:name w:val="Body Text"/>
    <w:basedOn w:val="a"/>
    <w:link w:val="Char"/>
    <w:rsid w:val="00801B15"/>
    <w:pPr>
      <w:jc w:val="center"/>
    </w:pPr>
    <w:rPr>
      <w:b/>
      <w:bCs/>
      <w:sz w:val="28"/>
    </w:rPr>
  </w:style>
  <w:style w:type="character" w:customStyle="1" w:styleId="Char">
    <w:name w:val="Σώμα κειμένου Char"/>
    <w:basedOn w:val="a0"/>
    <w:link w:val="a3"/>
    <w:rsid w:val="00801B15"/>
    <w:rPr>
      <w:rFonts w:ascii="Times New Roman" w:eastAsia="Times New Roman" w:hAnsi="Times New Roman" w:cs="Times New Roman"/>
      <w:b/>
      <w:bCs/>
      <w:sz w:val="28"/>
      <w:szCs w:val="24"/>
      <w:lang w:eastAsia="el-GR"/>
    </w:rPr>
  </w:style>
  <w:style w:type="paragraph" w:styleId="a4">
    <w:name w:val="Balloon Text"/>
    <w:basedOn w:val="a"/>
    <w:link w:val="Char0"/>
    <w:uiPriority w:val="99"/>
    <w:semiHidden/>
    <w:unhideWhenUsed/>
    <w:rsid w:val="00801B15"/>
    <w:rPr>
      <w:rFonts w:ascii="Tahoma" w:hAnsi="Tahoma" w:cs="Tahoma"/>
      <w:sz w:val="16"/>
      <w:szCs w:val="16"/>
    </w:rPr>
  </w:style>
  <w:style w:type="character" w:customStyle="1" w:styleId="Char0">
    <w:name w:val="Κείμενο πλαισίου Char"/>
    <w:basedOn w:val="a0"/>
    <w:link w:val="a4"/>
    <w:uiPriority w:val="99"/>
    <w:semiHidden/>
    <w:rsid w:val="00801B15"/>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1577</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dc:creator>
  <cp:lastModifiedBy>NaD</cp:lastModifiedBy>
  <cp:revision>2</cp:revision>
  <dcterms:created xsi:type="dcterms:W3CDTF">2018-09-04T09:14:00Z</dcterms:created>
  <dcterms:modified xsi:type="dcterms:W3CDTF">2018-09-04T09:14:00Z</dcterms:modified>
</cp:coreProperties>
</file>